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66E9F" w14:paraId="741873B9" w14:textId="77777777" w:rsidTr="00734952">
        <w:tc>
          <w:tcPr>
            <w:tcW w:w="4508" w:type="dxa"/>
          </w:tcPr>
          <w:p w14:paraId="11FEE60A" w14:textId="2981EAA9" w:rsidR="00466E9F" w:rsidRPr="00734952" w:rsidRDefault="00734952">
            <w:pPr>
              <w:rPr>
                <w:b/>
                <w:bCs/>
                <w:sz w:val="32"/>
                <w:szCs w:val="32"/>
              </w:rPr>
            </w:pPr>
            <w:r w:rsidRPr="00734952">
              <w:rPr>
                <w:b/>
                <w:bCs/>
                <w:sz w:val="32"/>
                <w:szCs w:val="32"/>
              </w:rPr>
              <w:t>Student Services</w:t>
            </w:r>
          </w:p>
        </w:tc>
        <w:tc>
          <w:tcPr>
            <w:tcW w:w="4508" w:type="dxa"/>
          </w:tcPr>
          <w:p w14:paraId="7ACBB62A" w14:textId="03326219" w:rsidR="00466E9F" w:rsidRDefault="00466E9F" w:rsidP="00466E9F">
            <w:pPr>
              <w:jc w:val="right"/>
              <w:rPr>
                <w:b/>
                <w:bCs/>
                <w:sz w:val="36"/>
                <w:szCs w:val="36"/>
              </w:rPr>
            </w:pPr>
            <w:r>
              <w:rPr>
                <w:b/>
                <w:bCs/>
                <w:noProof/>
                <w:sz w:val="36"/>
                <w:szCs w:val="36"/>
              </w:rPr>
              <w:drawing>
                <wp:inline distT="0" distB="0" distL="0" distR="0" wp14:anchorId="3EE9FD6C" wp14:editId="2947FC8B">
                  <wp:extent cx="1443536" cy="471017"/>
                  <wp:effectExtent l="0" t="0" r="4445" b="5715"/>
                  <wp:docPr id="107199622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96221"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536" cy="471017"/>
                          </a:xfrm>
                          <a:prstGeom prst="rect">
                            <a:avLst/>
                          </a:prstGeom>
                        </pic:spPr>
                      </pic:pic>
                    </a:graphicData>
                  </a:graphic>
                </wp:inline>
              </w:drawing>
            </w:r>
          </w:p>
        </w:tc>
      </w:tr>
    </w:tbl>
    <w:p w14:paraId="17A05C7C" w14:textId="77777777" w:rsidR="00466E9F" w:rsidRDefault="00466E9F">
      <w:pPr>
        <w:rPr>
          <w:b/>
          <w:bCs/>
          <w:sz w:val="36"/>
          <w:szCs w:val="36"/>
        </w:rPr>
      </w:pPr>
    </w:p>
    <w:p w14:paraId="1F7C6796" w14:textId="1FB90277" w:rsidR="009201DF" w:rsidRPr="009201DF" w:rsidRDefault="009201DF">
      <w:pPr>
        <w:rPr>
          <w:b/>
          <w:bCs/>
          <w:sz w:val="36"/>
          <w:szCs w:val="36"/>
        </w:rPr>
      </w:pPr>
      <w:r w:rsidRPr="009201DF">
        <w:rPr>
          <w:b/>
          <w:bCs/>
          <w:sz w:val="36"/>
          <w:szCs w:val="36"/>
        </w:rPr>
        <w:t xml:space="preserve">Request to Transfer Degree Programme </w:t>
      </w:r>
    </w:p>
    <w:p w14:paraId="1AD7C2D4" w14:textId="326283AE" w:rsidR="009201DF" w:rsidRPr="009201DF" w:rsidRDefault="009201DF" w:rsidP="00734952">
      <w:pPr>
        <w:jc w:val="both"/>
        <w:rPr>
          <w:sz w:val="24"/>
          <w:szCs w:val="24"/>
        </w:rPr>
      </w:pPr>
      <w:r w:rsidRPr="009201DF">
        <w:rPr>
          <w:sz w:val="24"/>
          <w:szCs w:val="24"/>
        </w:rPr>
        <w:t xml:space="preserve">In response to student feedback, we are making exciting changes to our academic year and programmes from 2024/25. This means that if you are still studying your course in 2024/25 you will notice some changes to the way you study. We are changing from teaching over three terms to two semesters, which will impact when you are taught and assessed. You might also notice a change in the compulsory and optional modules on your course. There is also an updated </w:t>
      </w:r>
      <w:hyperlink r:id="rId8" w:history="1">
        <w:r w:rsidRPr="009F4A65">
          <w:rPr>
            <w:rStyle w:val="Hyperlink"/>
            <w:sz w:val="24"/>
            <w:szCs w:val="24"/>
          </w:rPr>
          <w:t>Fees Policy</w:t>
        </w:r>
      </w:hyperlink>
      <w:r w:rsidRPr="009201DF">
        <w:rPr>
          <w:sz w:val="24"/>
          <w:szCs w:val="24"/>
        </w:rPr>
        <w:t xml:space="preserve">. Please do get in touch with your Support Centre for more information about these changes. </w:t>
      </w:r>
    </w:p>
    <w:p w14:paraId="3AB9453A" w14:textId="77777777" w:rsidR="009201DF" w:rsidRDefault="009201DF">
      <w:pPr>
        <w:rPr>
          <w:b/>
          <w:bCs/>
          <w:sz w:val="28"/>
          <w:szCs w:val="28"/>
        </w:rPr>
      </w:pPr>
    </w:p>
    <w:p w14:paraId="2F3D1A03" w14:textId="29263B2F" w:rsidR="009201DF" w:rsidRPr="009201DF" w:rsidRDefault="009201DF">
      <w:pPr>
        <w:rPr>
          <w:b/>
          <w:bCs/>
          <w:sz w:val="28"/>
          <w:szCs w:val="28"/>
        </w:rPr>
      </w:pPr>
      <w:r w:rsidRPr="009201DF">
        <w:rPr>
          <w:b/>
          <w:bCs/>
          <w:sz w:val="28"/>
          <w:szCs w:val="28"/>
        </w:rPr>
        <w:t xml:space="preserve">For Undergraduate &amp; Postgraduate Taught Students </w:t>
      </w:r>
    </w:p>
    <w:p w14:paraId="2C0B9F0F" w14:textId="6EB92DD0" w:rsidR="009201DF" w:rsidRPr="009201DF" w:rsidRDefault="009201DF" w:rsidP="00734952">
      <w:pPr>
        <w:jc w:val="both"/>
        <w:rPr>
          <w:sz w:val="24"/>
          <w:szCs w:val="24"/>
        </w:rPr>
      </w:pPr>
      <w:r w:rsidRPr="009201DF">
        <w:rPr>
          <w:sz w:val="24"/>
          <w:szCs w:val="24"/>
        </w:rPr>
        <w:t xml:space="preserve">Before making any decisions you should consult with either your </w:t>
      </w:r>
      <w:hyperlink r:id="rId9" w:history="1">
        <w:r w:rsidRPr="0091415C">
          <w:rPr>
            <w:rStyle w:val="Hyperlink"/>
            <w:sz w:val="24"/>
            <w:szCs w:val="24"/>
          </w:rPr>
          <w:t>Academic Tutor</w:t>
        </w:r>
      </w:hyperlink>
      <w:r w:rsidRPr="009201DF">
        <w:rPr>
          <w:sz w:val="24"/>
          <w:szCs w:val="24"/>
        </w:rPr>
        <w:t xml:space="preserve">, </w:t>
      </w:r>
      <w:hyperlink r:id="rId10" w:history="1">
        <w:r w:rsidRPr="00FA5819">
          <w:rPr>
            <w:rStyle w:val="Hyperlink"/>
            <w:sz w:val="24"/>
            <w:szCs w:val="24"/>
          </w:rPr>
          <w:t>School Director of Academic Tutoring</w:t>
        </w:r>
      </w:hyperlink>
      <w:r w:rsidRPr="009201DF">
        <w:rPr>
          <w:sz w:val="24"/>
          <w:szCs w:val="24"/>
        </w:rPr>
        <w:t xml:space="preserve"> and/or Programme Director / School Director of Teaching and Learning, as well as consulting the relevant </w:t>
      </w:r>
      <w:hyperlink r:id="rId11" w:history="1">
        <w:r w:rsidRPr="00C25C15">
          <w:rPr>
            <w:rStyle w:val="Hyperlink"/>
            <w:sz w:val="24"/>
            <w:szCs w:val="24"/>
          </w:rPr>
          <w:t>Programme Specification(s)</w:t>
        </w:r>
      </w:hyperlink>
      <w:r w:rsidR="00C25C15">
        <w:rPr>
          <w:sz w:val="24"/>
          <w:szCs w:val="24"/>
        </w:rPr>
        <w:t xml:space="preserve">.  </w:t>
      </w:r>
      <w:r w:rsidRPr="009201DF">
        <w:rPr>
          <w:sz w:val="24"/>
          <w:szCs w:val="24"/>
        </w:rPr>
        <w:t xml:space="preserve">Your </w:t>
      </w:r>
      <w:hyperlink r:id="rId12" w:history="1">
        <w:r w:rsidRPr="00A92DFA">
          <w:rPr>
            <w:rStyle w:val="Hyperlink"/>
            <w:sz w:val="24"/>
            <w:szCs w:val="24"/>
          </w:rPr>
          <w:t>Student Support Coordinator</w:t>
        </w:r>
      </w:hyperlink>
      <w:r w:rsidRPr="009201DF">
        <w:rPr>
          <w:sz w:val="24"/>
          <w:szCs w:val="24"/>
        </w:rPr>
        <w:t xml:space="preserve"> or the Henley Helpdesk should also be consulted regarding the financial implications of transferring to a different degree programme. </w:t>
      </w:r>
    </w:p>
    <w:p w14:paraId="785F6DF5" w14:textId="1B452B0A" w:rsidR="009201DF" w:rsidRPr="009201DF" w:rsidRDefault="009201DF" w:rsidP="00734952">
      <w:pPr>
        <w:jc w:val="both"/>
        <w:rPr>
          <w:sz w:val="24"/>
          <w:szCs w:val="24"/>
        </w:rPr>
      </w:pPr>
      <w:r w:rsidRPr="009201DF">
        <w:rPr>
          <w:sz w:val="24"/>
          <w:szCs w:val="24"/>
        </w:rPr>
        <w:t xml:space="preserve">If you are a Tier 4/Student visa holder, there may be implications for your visa if you transfer programmes. For specific information and advice about the visa implications, please contact the International Student Advisory Team at </w:t>
      </w:r>
      <w:hyperlink r:id="rId13" w:history="1">
        <w:r w:rsidRPr="009201DF">
          <w:rPr>
            <w:rStyle w:val="Hyperlink"/>
            <w:sz w:val="24"/>
            <w:szCs w:val="24"/>
          </w:rPr>
          <w:t>immigration@reading.ac.uk</w:t>
        </w:r>
      </w:hyperlink>
      <w:r w:rsidRPr="009201DF">
        <w:rPr>
          <w:sz w:val="24"/>
          <w:szCs w:val="24"/>
        </w:rPr>
        <w:t xml:space="preserve">. </w:t>
      </w:r>
    </w:p>
    <w:p w14:paraId="1A58CBC7" w14:textId="77777777" w:rsidR="009201DF" w:rsidRPr="009201DF" w:rsidRDefault="009201DF" w:rsidP="00734952">
      <w:pPr>
        <w:jc w:val="both"/>
        <w:rPr>
          <w:sz w:val="24"/>
          <w:szCs w:val="24"/>
        </w:rPr>
      </w:pPr>
      <w:r w:rsidRPr="009201DF">
        <w:rPr>
          <w:sz w:val="24"/>
          <w:szCs w:val="24"/>
        </w:rPr>
        <w:t xml:space="preserve">Students must be aware that there is no guarantee of transfer. Consideration will be made subject to the prerequisites of the programme specification and also the academic performance of the individual student. Students who wish to transfer degree programmes after the third week of teaching in the Autumn Term will not normally be allowed to do so within the same academic year. </w:t>
      </w:r>
    </w:p>
    <w:p w14:paraId="06ACC15C" w14:textId="42824333" w:rsidR="009201DF" w:rsidRPr="009201DF" w:rsidRDefault="009201DF" w:rsidP="00734952">
      <w:pPr>
        <w:jc w:val="both"/>
        <w:rPr>
          <w:sz w:val="24"/>
          <w:szCs w:val="24"/>
        </w:rPr>
      </w:pPr>
      <w:r w:rsidRPr="009201DF">
        <w:rPr>
          <w:sz w:val="24"/>
          <w:szCs w:val="24"/>
        </w:rPr>
        <w:t xml:space="preserve">While a case is being considered, it is important that students continue to attend classes, submit coursework and attend examinations until notified of outcome of request. </w:t>
      </w:r>
    </w:p>
    <w:p w14:paraId="7DDAEBC6" w14:textId="570CBD36" w:rsidR="009201DF" w:rsidRPr="009201DF" w:rsidRDefault="009201DF">
      <w:pPr>
        <w:rPr>
          <w:sz w:val="24"/>
          <w:szCs w:val="24"/>
        </w:rPr>
      </w:pPr>
      <w:r w:rsidRPr="009201DF">
        <w:rPr>
          <w:sz w:val="24"/>
          <w:szCs w:val="24"/>
        </w:rPr>
        <w:t xml:space="preserve">Students must complete all parts of sections 1-5 of this form, sign and date and return it to their </w:t>
      </w:r>
      <w:hyperlink r:id="rId14" w:history="1">
        <w:r w:rsidRPr="00165690">
          <w:rPr>
            <w:rStyle w:val="Hyperlink"/>
            <w:sz w:val="24"/>
            <w:szCs w:val="24"/>
          </w:rPr>
          <w:t>Student Support Coordinator</w:t>
        </w:r>
      </w:hyperlink>
      <w:r w:rsidRPr="009201DF">
        <w:rPr>
          <w:sz w:val="24"/>
          <w:szCs w:val="24"/>
        </w:rPr>
        <w:t xml:space="preserve"> or the Henley Helpdesk. </w:t>
      </w:r>
    </w:p>
    <w:p w14:paraId="298A464E" w14:textId="5293FAF2" w:rsidR="00972707" w:rsidRPr="00734952" w:rsidRDefault="009201DF">
      <w:pPr>
        <w:rPr>
          <w:b/>
          <w:bCs/>
          <w:sz w:val="24"/>
          <w:szCs w:val="24"/>
        </w:rPr>
      </w:pPr>
      <w:r w:rsidRPr="00734952">
        <w:rPr>
          <w:b/>
          <w:bCs/>
          <w:sz w:val="24"/>
          <w:szCs w:val="24"/>
        </w:rPr>
        <w:t>Please note that completing this form does not ensure a space on a programme or a compulsory or optional module,</w:t>
      </w:r>
    </w:p>
    <w:p w14:paraId="03F81F09" w14:textId="77777777" w:rsidR="009201DF" w:rsidRDefault="009201DF">
      <w:pPr>
        <w:rPr>
          <w:sz w:val="24"/>
          <w:szCs w:val="24"/>
        </w:rPr>
      </w:pPr>
    </w:p>
    <w:p w14:paraId="13C432CA" w14:textId="77777777" w:rsidR="009201DF" w:rsidRDefault="009201DF">
      <w:pPr>
        <w:rPr>
          <w:b/>
          <w:bCs/>
          <w:sz w:val="28"/>
          <w:szCs w:val="28"/>
        </w:rPr>
      </w:pPr>
    </w:p>
    <w:p w14:paraId="7182F248" w14:textId="0B157A85" w:rsidR="009201DF" w:rsidRPr="009201DF" w:rsidRDefault="009201DF" w:rsidP="00A637ED">
      <w:pPr>
        <w:shd w:val="clear" w:color="auto" w:fill="000000" w:themeFill="text1"/>
        <w:rPr>
          <w:b/>
          <w:bCs/>
          <w:sz w:val="28"/>
          <w:szCs w:val="28"/>
        </w:rPr>
      </w:pPr>
      <w:r w:rsidRPr="009201DF">
        <w:rPr>
          <w:b/>
          <w:bCs/>
          <w:sz w:val="28"/>
          <w:szCs w:val="28"/>
        </w:rPr>
        <w:lastRenderedPageBreak/>
        <w:t>Section 1 – Personal Details</w:t>
      </w:r>
    </w:p>
    <w:p w14:paraId="4CCB879A" w14:textId="29ED7BA4" w:rsidR="009201DF" w:rsidRDefault="009201DF">
      <w:pPr>
        <w:pBdr>
          <w:bottom w:val="single" w:sz="12" w:space="1" w:color="auto"/>
        </w:pBdr>
        <w:rPr>
          <w:sz w:val="24"/>
          <w:szCs w:val="24"/>
        </w:rPr>
      </w:pPr>
      <w:r>
        <w:rPr>
          <w:sz w:val="24"/>
          <w:szCs w:val="24"/>
        </w:rPr>
        <w:t>Name:</w:t>
      </w:r>
    </w:p>
    <w:p w14:paraId="4A913D1C" w14:textId="38584D52" w:rsidR="009201DF" w:rsidRDefault="009201DF">
      <w:pPr>
        <w:pBdr>
          <w:bottom w:val="single" w:sz="12" w:space="1" w:color="auto"/>
        </w:pBdr>
        <w:rPr>
          <w:sz w:val="24"/>
          <w:szCs w:val="24"/>
        </w:rPr>
      </w:pPr>
    </w:p>
    <w:p w14:paraId="2A51A839" w14:textId="5A17B720" w:rsidR="009201DF" w:rsidRDefault="009201DF">
      <w:pPr>
        <w:rPr>
          <w:sz w:val="24"/>
          <w:szCs w:val="24"/>
        </w:rPr>
      </w:pPr>
      <w:r>
        <w:rPr>
          <w:sz w:val="24"/>
          <w:szCs w:val="24"/>
        </w:rPr>
        <w:t>University Email address:</w:t>
      </w:r>
    </w:p>
    <w:p w14:paraId="2B9BF5E0" w14:textId="77777777" w:rsidR="009201DF" w:rsidRDefault="009201DF">
      <w:pPr>
        <w:pBdr>
          <w:bottom w:val="single" w:sz="12" w:space="1" w:color="auto"/>
        </w:pBdr>
        <w:rPr>
          <w:sz w:val="24"/>
          <w:szCs w:val="24"/>
        </w:rPr>
      </w:pPr>
    </w:p>
    <w:p w14:paraId="73543F4B" w14:textId="2E21DA8E" w:rsidR="009201DF" w:rsidRDefault="009201DF">
      <w:pPr>
        <w:rPr>
          <w:sz w:val="24"/>
          <w:szCs w:val="24"/>
        </w:rPr>
      </w:pPr>
      <w:r>
        <w:rPr>
          <w:sz w:val="24"/>
          <w:szCs w:val="24"/>
        </w:rPr>
        <w:t>Academic Tutor:</w:t>
      </w:r>
    </w:p>
    <w:p w14:paraId="785060DB" w14:textId="719C347A" w:rsidR="009201DF" w:rsidRDefault="009201DF">
      <w:pPr>
        <w:pBdr>
          <w:bottom w:val="single" w:sz="12" w:space="1" w:color="auto"/>
        </w:pBdr>
        <w:rPr>
          <w:sz w:val="24"/>
          <w:szCs w:val="24"/>
        </w:rPr>
      </w:pPr>
    </w:p>
    <w:p w14:paraId="266ED7F5" w14:textId="2905D5BC" w:rsidR="009201DF" w:rsidRDefault="009201DF">
      <w:pPr>
        <w:rPr>
          <w:sz w:val="24"/>
          <w:szCs w:val="24"/>
        </w:rPr>
      </w:pPr>
      <w:r>
        <w:rPr>
          <w:sz w:val="24"/>
          <w:szCs w:val="24"/>
        </w:rPr>
        <w:t>Current Degree Programme:</w:t>
      </w:r>
    </w:p>
    <w:p w14:paraId="3442F477" w14:textId="77777777" w:rsidR="009201DF" w:rsidRDefault="009201DF">
      <w:pPr>
        <w:pBdr>
          <w:bottom w:val="single" w:sz="12" w:space="1" w:color="auto"/>
        </w:pBdr>
        <w:rPr>
          <w:sz w:val="24"/>
          <w:szCs w:val="24"/>
        </w:rPr>
      </w:pPr>
    </w:p>
    <w:p w14:paraId="7CD550DA" w14:textId="1F0365D9" w:rsidR="009201DF" w:rsidRDefault="009201DF">
      <w:pPr>
        <w:rPr>
          <w:sz w:val="24"/>
          <w:szCs w:val="24"/>
        </w:rPr>
      </w:pPr>
      <w:r>
        <w:rPr>
          <w:sz w:val="24"/>
          <w:szCs w:val="24"/>
        </w:rPr>
        <w:t xml:space="preserve">Student Number: </w:t>
      </w:r>
    </w:p>
    <w:p w14:paraId="46BF7A91" w14:textId="77777777" w:rsidR="009201DF" w:rsidRDefault="009201DF">
      <w:pPr>
        <w:pBdr>
          <w:bottom w:val="single" w:sz="12" w:space="1" w:color="auto"/>
        </w:pBdr>
        <w:rPr>
          <w:sz w:val="24"/>
          <w:szCs w:val="24"/>
        </w:rPr>
      </w:pPr>
    </w:p>
    <w:p w14:paraId="6B869108" w14:textId="3BB63CD8" w:rsidR="009201DF" w:rsidRDefault="009201DF">
      <w:pPr>
        <w:rPr>
          <w:sz w:val="24"/>
          <w:szCs w:val="24"/>
        </w:rPr>
      </w:pPr>
      <w:r>
        <w:rPr>
          <w:sz w:val="24"/>
          <w:szCs w:val="24"/>
        </w:rPr>
        <w:t>Part 1,2,3,4 or PGT:</w:t>
      </w:r>
    </w:p>
    <w:p w14:paraId="4910899C" w14:textId="77777777" w:rsidR="009201DF" w:rsidRDefault="009201DF">
      <w:pPr>
        <w:pBdr>
          <w:bottom w:val="single" w:sz="12" w:space="1" w:color="auto"/>
        </w:pBdr>
        <w:rPr>
          <w:sz w:val="24"/>
          <w:szCs w:val="24"/>
        </w:rPr>
      </w:pPr>
    </w:p>
    <w:p w14:paraId="5E01015B" w14:textId="094767EF" w:rsidR="009201DF" w:rsidRDefault="009201DF">
      <w:pPr>
        <w:rPr>
          <w:sz w:val="24"/>
          <w:szCs w:val="24"/>
        </w:rPr>
      </w:pPr>
      <w:r>
        <w:rPr>
          <w:sz w:val="24"/>
          <w:szCs w:val="24"/>
        </w:rPr>
        <w:t>School:</w:t>
      </w:r>
    </w:p>
    <w:p w14:paraId="5B2A1E09" w14:textId="77777777" w:rsidR="009201DF" w:rsidRDefault="009201DF">
      <w:pPr>
        <w:pBdr>
          <w:bottom w:val="single" w:sz="12" w:space="1" w:color="auto"/>
        </w:pBdr>
        <w:rPr>
          <w:sz w:val="24"/>
          <w:szCs w:val="24"/>
        </w:rPr>
      </w:pPr>
    </w:p>
    <w:p w14:paraId="07379C7C" w14:textId="7E720D8E" w:rsidR="009201DF" w:rsidRDefault="009201DF">
      <w:pPr>
        <w:rPr>
          <w:sz w:val="24"/>
          <w:szCs w:val="24"/>
        </w:rPr>
      </w:pPr>
      <w:r>
        <w:rPr>
          <w:sz w:val="24"/>
          <w:szCs w:val="24"/>
        </w:rPr>
        <w:t>Mode of attendance:</w:t>
      </w:r>
    </w:p>
    <w:p w14:paraId="6E4E5EC5" w14:textId="77777777" w:rsidR="009201DF" w:rsidRDefault="009201DF">
      <w:pPr>
        <w:pBdr>
          <w:bottom w:val="single" w:sz="12" w:space="1" w:color="auto"/>
        </w:pBdr>
        <w:rPr>
          <w:sz w:val="24"/>
          <w:szCs w:val="24"/>
        </w:rPr>
      </w:pPr>
    </w:p>
    <w:p w14:paraId="52036AC2" w14:textId="77777777" w:rsidR="009201DF" w:rsidRDefault="009201DF">
      <w:pPr>
        <w:rPr>
          <w:sz w:val="24"/>
          <w:szCs w:val="24"/>
        </w:rPr>
      </w:pPr>
    </w:p>
    <w:p w14:paraId="7C543B6F" w14:textId="2DD8D769" w:rsidR="009201DF" w:rsidRPr="009201DF" w:rsidRDefault="009201DF" w:rsidP="00A637ED">
      <w:pPr>
        <w:shd w:val="clear" w:color="auto" w:fill="000000" w:themeFill="text1"/>
        <w:rPr>
          <w:b/>
          <w:bCs/>
          <w:sz w:val="28"/>
          <w:szCs w:val="28"/>
        </w:rPr>
      </w:pPr>
      <w:r w:rsidRPr="009201DF">
        <w:rPr>
          <w:b/>
          <w:bCs/>
          <w:sz w:val="28"/>
          <w:szCs w:val="28"/>
        </w:rPr>
        <w:t>Section 2 – Change of Degree Programme</w:t>
      </w:r>
    </w:p>
    <w:p w14:paraId="2DB7D2DF" w14:textId="58710C68" w:rsidR="009201DF" w:rsidRDefault="009201DF">
      <w:pPr>
        <w:rPr>
          <w:sz w:val="24"/>
          <w:szCs w:val="24"/>
        </w:rPr>
      </w:pPr>
      <w:r>
        <w:rPr>
          <w:sz w:val="24"/>
          <w:szCs w:val="24"/>
        </w:rPr>
        <w:t>Degree you wish to transfer to:</w:t>
      </w:r>
    </w:p>
    <w:p w14:paraId="393567BE" w14:textId="77777777" w:rsidR="009201DF" w:rsidRDefault="009201DF">
      <w:pPr>
        <w:pBdr>
          <w:bottom w:val="single" w:sz="12" w:space="1" w:color="auto"/>
        </w:pBdr>
        <w:rPr>
          <w:sz w:val="24"/>
          <w:szCs w:val="24"/>
        </w:rPr>
      </w:pPr>
    </w:p>
    <w:p w14:paraId="39A45CEA" w14:textId="77777777" w:rsidR="009201DF" w:rsidRDefault="009201DF" w:rsidP="009201DF">
      <w:pPr>
        <w:rPr>
          <w:sz w:val="24"/>
          <w:szCs w:val="24"/>
        </w:rPr>
      </w:pPr>
      <w:r>
        <w:rPr>
          <w:sz w:val="24"/>
          <w:szCs w:val="24"/>
        </w:rPr>
        <w:t>Part 1,2,3,4 or PGT:</w:t>
      </w:r>
    </w:p>
    <w:p w14:paraId="470BD661" w14:textId="77777777" w:rsidR="009201DF" w:rsidRDefault="009201DF" w:rsidP="009201DF">
      <w:pPr>
        <w:pBdr>
          <w:bottom w:val="single" w:sz="12" w:space="1" w:color="auto"/>
        </w:pBdr>
        <w:rPr>
          <w:sz w:val="24"/>
          <w:szCs w:val="24"/>
        </w:rPr>
      </w:pPr>
    </w:p>
    <w:p w14:paraId="7A1AC4D9" w14:textId="77777777" w:rsidR="009201DF" w:rsidRDefault="009201DF">
      <w:pPr>
        <w:rPr>
          <w:sz w:val="24"/>
          <w:szCs w:val="24"/>
        </w:rPr>
      </w:pPr>
      <w:r>
        <w:rPr>
          <w:sz w:val="24"/>
          <w:szCs w:val="24"/>
        </w:rPr>
        <w:t>Mode of attendance (full or part time):</w:t>
      </w:r>
    </w:p>
    <w:p w14:paraId="5B446D72" w14:textId="77777777" w:rsidR="009201DF" w:rsidRDefault="009201DF">
      <w:pPr>
        <w:pBdr>
          <w:bottom w:val="single" w:sz="12" w:space="1" w:color="auto"/>
        </w:pBdr>
        <w:rPr>
          <w:sz w:val="24"/>
          <w:szCs w:val="24"/>
        </w:rPr>
      </w:pPr>
    </w:p>
    <w:p w14:paraId="7761B00D" w14:textId="77777777" w:rsidR="00734952" w:rsidRDefault="00734952">
      <w:pPr>
        <w:rPr>
          <w:sz w:val="24"/>
          <w:szCs w:val="24"/>
        </w:rPr>
      </w:pPr>
    </w:p>
    <w:p w14:paraId="7EBADA22" w14:textId="21C0AAB5" w:rsidR="009201DF" w:rsidRDefault="009201DF">
      <w:pPr>
        <w:rPr>
          <w:sz w:val="24"/>
          <w:szCs w:val="24"/>
        </w:rPr>
      </w:pPr>
      <w:r>
        <w:rPr>
          <w:sz w:val="24"/>
          <w:szCs w:val="24"/>
        </w:rPr>
        <w:t>Does this degree have a placement option (yes/no):</w:t>
      </w:r>
    </w:p>
    <w:p w14:paraId="7C4F8DB2" w14:textId="77777777" w:rsidR="009201DF" w:rsidRDefault="009201DF">
      <w:pPr>
        <w:pBdr>
          <w:bottom w:val="single" w:sz="12" w:space="1" w:color="auto"/>
        </w:pBdr>
        <w:rPr>
          <w:sz w:val="24"/>
          <w:szCs w:val="24"/>
        </w:rPr>
      </w:pPr>
    </w:p>
    <w:p w14:paraId="5ACE4723" w14:textId="6B405569" w:rsidR="009201DF" w:rsidRPr="009201DF" w:rsidRDefault="009201DF" w:rsidP="00A637ED">
      <w:pPr>
        <w:shd w:val="clear" w:color="auto" w:fill="000000" w:themeFill="text1"/>
        <w:rPr>
          <w:b/>
          <w:bCs/>
          <w:sz w:val="28"/>
          <w:szCs w:val="28"/>
        </w:rPr>
      </w:pPr>
      <w:r w:rsidRPr="009201DF">
        <w:rPr>
          <w:b/>
          <w:bCs/>
          <w:sz w:val="28"/>
          <w:szCs w:val="28"/>
        </w:rPr>
        <w:lastRenderedPageBreak/>
        <w:t>Section 3 – Reason for Request</w:t>
      </w:r>
    </w:p>
    <w:p w14:paraId="0CE34958" w14:textId="7D7E6BD3" w:rsidR="009201DF" w:rsidRDefault="009201DF">
      <w:pPr>
        <w:rPr>
          <w:sz w:val="24"/>
          <w:szCs w:val="24"/>
        </w:rPr>
      </w:pPr>
      <w:r>
        <w:rPr>
          <w:sz w:val="24"/>
          <w:szCs w:val="24"/>
        </w:rPr>
        <w:t>Please discuss your transfer with the relevant schools before submitting this form.</w:t>
      </w:r>
    </w:p>
    <w:p w14:paraId="531BA61A" w14:textId="539A7CE5" w:rsidR="009201DF" w:rsidRDefault="009201DF">
      <w:pPr>
        <w:rPr>
          <w:sz w:val="24"/>
          <w:szCs w:val="24"/>
        </w:rPr>
      </w:pPr>
      <w:r>
        <w:rPr>
          <w:sz w:val="24"/>
          <w:szCs w:val="24"/>
        </w:rPr>
        <w:t>Why do you wish to change your degree programme</w:t>
      </w:r>
      <w:r w:rsidR="00D47DC5">
        <w:rPr>
          <w:sz w:val="24"/>
          <w:szCs w:val="24"/>
        </w:rPr>
        <w:t>?:</w:t>
      </w:r>
    </w:p>
    <w:p w14:paraId="083DEC61" w14:textId="77777777" w:rsidR="009201DF" w:rsidRDefault="009201DF">
      <w:pPr>
        <w:pBdr>
          <w:bottom w:val="single" w:sz="12" w:space="1" w:color="auto"/>
        </w:pBdr>
        <w:rPr>
          <w:sz w:val="24"/>
          <w:szCs w:val="24"/>
        </w:rPr>
      </w:pPr>
    </w:p>
    <w:p w14:paraId="78E85DE2" w14:textId="77777777" w:rsidR="009201DF" w:rsidRDefault="009201DF">
      <w:pPr>
        <w:rPr>
          <w:sz w:val="24"/>
          <w:szCs w:val="24"/>
        </w:rPr>
      </w:pPr>
    </w:p>
    <w:p w14:paraId="25B7AE14" w14:textId="52950B31" w:rsidR="009201DF" w:rsidRPr="009201DF" w:rsidRDefault="009201DF" w:rsidP="00A637ED">
      <w:pPr>
        <w:shd w:val="clear" w:color="auto" w:fill="000000" w:themeFill="text1"/>
        <w:rPr>
          <w:b/>
          <w:bCs/>
          <w:sz w:val="28"/>
          <w:szCs w:val="28"/>
        </w:rPr>
      </w:pPr>
      <w:r w:rsidRPr="009201DF">
        <w:rPr>
          <w:b/>
          <w:bCs/>
          <w:sz w:val="28"/>
          <w:szCs w:val="28"/>
        </w:rPr>
        <w:t xml:space="preserve">Section </w:t>
      </w:r>
      <w:r>
        <w:rPr>
          <w:b/>
          <w:bCs/>
          <w:sz w:val="28"/>
          <w:szCs w:val="28"/>
        </w:rPr>
        <w:t>4</w:t>
      </w:r>
      <w:r w:rsidRPr="009201DF">
        <w:rPr>
          <w:b/>
          <w:bCs/>
          <w:sz w:val="28"/>
          <w:szCs w:val="28"/>
        </w:rPr>
        <w:t xml:space="preserve"> – </w:t>
      </w:r>
      <w:r>
        <w:rPr>
          <w:b/>
          <w:bCs/>
          <w:sz w:val="28"/>
          <w:szCs w:val="28"/>
        </w:rPr>
        <w:t>Preferred modules to be taken on new degree programme</w:t>
      </w:r>
    </w:p>
    <w:p w14:paraId="129DF350" w14:textId="0FE962D6" w:rsidR="009201DF" w:rsidRDefault="009201DF" w:rsidP="009201DF">
      <w:pPr>
        <w:rPr>
          <w:sz w:val="24"/>
          <w:szCs w:val="24"/>
        </w:rPr>
      </w:pPr>
      <w:r>
        <w:rPr>
          <w:sz w:val="24"/>
          <w:szCs w:val="24"/>
        </w:rPr>
        <w:t>This should include all modules already taken which are available on the new programme and any future module selections which are already confirmed.</w:t>
      </w:r>
    </w:p>
    <w:p w14:paraId="4FA39B96" w14:textId="77777777" w:rsidR="009201DF" w:rsidRDefault="009201DF" w:rsidP="009201DF">
      <w:pPr>
        <w:rPr>
          <w:sz w:val="24"/>
          <w:szCs w:val="24"/>
        </w:rPr>
      </w:pPr>
    </w:p>
    <w:p w14:paraId="3DBE9118" w14:textId="624DDD14" w:rsidR="009201DF" w:rsidRPr="009201DF" w:rsidRDefault="009201DF" w:rsidP="009201DF">
      <w:pPr>
        <w:rPr>
          <w:b/>
          <w:bCs/>
          <w:sz w:val="24"/>
          <w:szCs w:val="24"/>
        </w:rPr>
      </w:pPr>
      <w:r w:rsidRPr="009201DF">
        <w:rPr>
          <w:b/>
          <w:bCs/>
          <w:sz w:val="24"/>
          <w:szCs w:val="24"/>
        </w:rPr>
        <w:t>Module Code:</w:t>
      </w:r>
    </w:p>
    <w:p w14:paraId="2BA54D5A" w14:textId="77777777" w:rsidR="009201DF" w:rsidRDefault="009201DF" w:rsidP="009201DF">
      <w:pPr>
        <w:pBdr>
          <w:bottom w:val="single" w:sz="12" w:space="1" w:color="auto"/>
        </w:pBdr>
        <w:rPr>
          <w:sz w:val="24"/>
          <w:szCs w:val="24"/>
        </w:rPr>
      </w:pPr>
    </w:p>
    <w:p w14:paraId="0E0EA3F4" w14:textId="77777777" w:rsidR="009201DF" w:rsidRDefault="009201DF" w:rsidP="009201DF">
      <w:pPr>
        <w:rPr>
          <w:sz w:val="24"/>
          <w:szCs w:val="24"/>
        </w:rPr>
      </w:pPr>
      <w:r>
        <w:rPr>
          <w:sz w:val="24"/>
          <w:szCs w:val="24"/>
        </w:rPr>
        <w:t xml:space="preserve">Compulsory or optional: </w:t>
      </w:r>
    </w:p>
    <w:p w14:paraId="3F54718C" w14:textId="77777777" w:rsidR="009201DF" w:rsidRDefault="009201DF" w:rsidP="009201DF">
      <w:pPr>
        <w:pBdr>
          <w:bottom w:val="single" w:sz="12" w:space="1" w:color="auto"/>
        </w:pBdr>
        <w:rPr>
          <w:sz w:val="24"/>
          <w:szCs w:val="24"/>
        </w:rPr>
      </w:pPr>
    </w:p>
    <w:p w14:paraId="4F691EF9" w14:textId="62B470B3" w:rsidR="009201DF" w:rsidRDefault="009201DF" w:rsidP="009201DF">
      <w:pPr>
        <w:rPr>
          <w:sz w:val="24"/>
          <w:szCs w:val="24"/>
        </w:rPr>
      </w:pPr>
      <w:r>
        <w:rPr>
          <w:sz w:val="24"/>
          <w:szCs w:val="24"/>
        </w:rPr>
        <w:t>Module Title:</w:t>
      </w:r>
    </w:p>
    <w:p w14:paraId="27EBBA61" w14:textId="77777777" w:rsidR="009201DF" w:rsidRDefault="009201DF" w:rsidP="009201DF">
      <w:pPr>
        <w:pBdr>
          <w:bottom w:val="single" w:sz="12" w:space="1" w:color="auto"/>
        </w:pBdr>
        <w:rPr>
          <w:sz w:val="24"/>
          <w:szCs w:val="24"/>
        </w:rPr>
      </w:pPr>
    </w:p>
    <w:p w14:paraId="74D6A906" w14:textId="3275A2C0" w:rsidR="009201DF" w:rsidRDefault="009201DF" w:rsidP="009201DF">
      <w:pPr>
        <w:rPr>
          <w:sz w:val="24"/>
          <w:szCs w:val="24"/>
        </w:rPr>
      </w:pPr>
      <w:r>
        <w:rPr>
          <w:sz w:val="24"/>
          <w:szCs w:val="24"/>
        </w:rPr>
        <w:t>Number of credits:</w:t>
      </w:r>
    </w:p>
    <w:p w14:paraId="2980C46F" w14:textId="77777777" w:rsidR="009201DF" w:rsidRDefault="009201DF" w:rsidP="009201DF">
      <w:pPr>
        <w:pBdr>
          <w:bottom w:val="single" w:sz="12" w:space="1" w:color="auto"/>
        </w:pBdr>
        <w:rPr>
          <w:sz w:val="24"/>
          <w:szCs w:val="24"/>
        </w:rPr>
      </w:pPr>
    </w:p>
    <w:p w14:paraId="4A7668EA" w14:textId="77777777" w:rsidR="009201DF" w:rsidRDefault="009201DF" w:rsidP="009201DF">
      <w:pPr>
        <w:rPr>
          <w:sz w:val="24"/>
          <w:szCs w:val="24"/>
        </w:rPr>
      </w:pPr>
    </w:p>
    <w:p w14:paraId="5D56678C" w14:textId="77777777" w:rsidR="009201DF" w:rsidRPr="009201DF" w:rsidRDefault="009201DF" w:rsidP="009201DF">
      <w:pPr>
        <w:rPr>
          <w:b/>
          <w:bCs/>
          <w:sz w:val="24"/>
          <w:szCs w:val="24"/>
        </w:rPr>
      </w:pPr>
      <w:r w:rsidRPr="009201DF">
        <w:rPr>
          <w:b/>
          <w:bCs/>
          <w:sz w:val="24"/>
          <w:szCs w:val="24"/>
        </w:rPr>
        <w:t>Module Code:</w:t>
      </w:r>
    </w:p>
    <w:p w14:paraId="56CF51E8" w14:textId="77777777" w:rsidR="009201DF" w:rsidRDefault="009201DF" w:rsidP="009201DF">
      <w:pPr>
        <w:pBdr>
          <w:bottom w:val="single" w:sz="12" w:space="1" w:color="auto"/>
        </w:pBdr>
        <w:rPr>
          <w:sz w:val="24"/>
          <w:szCs w:val="24"/>
        </w:rPr>
      </w:pPr>
    </w:p>
    <w:p w14:paraId="6A860845" w14:textId="77777777" w:rsidR="009201DF" w:rsidRDefault="009201DF" w:rsidP="009201DF">
      <w:pPr>
        <w:rPr>
          <w:sz w:val="24"/>
          <w:szCs w:val="24"/>
        </w:rPr>
      </w:pPr>
      <w:r>
        <w:rPr>
          <w:sz w:val="24"/>
          <w:szCs w:val="24"/>
        </w:rPr>
        <w:t xml:space="preserve">Compulsory or optional: </w:t>
      </w:r>
    </w:p>
    <w:p w14:paraId="32F83AD9" w14:textId="77777777" w:rsidR="009201DF" w:rsidRDefault="009201DF" w:rsidP="009201DF">
      <w:pPr>
        <w:pBdr>
          <w:bottom w:val="single" w:sz="12" w:space="1" w:color="auto"/>
        </w:pBdr>
        <w:rPr>
          <w:sz w:val="24"/>
          <w:szCs w:val="24"/>
        </w:rPr>
      </w:pPr>
    </w:p>
    <w:p w14:paraId="77F6735E" w14:textId="77777777" w:rsidR="009201DF" w:rsidRDefault="009201DF" w:rsidP="009201DF">
      <w:pPr>
        <w:rPr>
          <w:sz w:val="24"/>
          <w:szCs w:val="24"/>
        </w:rPr>
      </w:pPr>
      <w:r>
        <w:rPr>
          <w:sz w:val="24"/>
          <w:szCs w:val="24"/>
        </w:rPr>
        <w:t>Module Title:</w:t>
      </w:r>
    </w:p>
    <w:p w14:paraId="44B4C380" w14:textId="77777777" w:rsidR="009201DF" w:rsidRDefault="009201DF" w:rsidP="009201DF">
      <w:pPr>
        <w:pBdr>
          <w:bottom w:val="single" w:sz="12" w:space="1" w:color="auto"/>
        </w:pBdr>
        <w:rPr>
          <w:sz w:val="24"/>
          <w:szCs w:val="24"/>
        </w:rPr>
      </w:pPr>
    </w:p>
    <w:p w14:paraId="65BCE422" w14:textId="77777777" w:rsidR="009201DF" w:rsidRDefault="009201DF" w:rsidP="009201DF">
      <w:pPr>
        <w:rPr>
          <w:sz w:val="24"/>
          <w:szCs w:val="24"/>
        </w:rPr>
      </w:pPr>
      <w:r>
        <w:rPr>
          <w:sz w:val="24"/>
          <w:szCs w:val="24"/>
        </w:rPr>
        <w:t>Number of credits:</w:t>
      </w:r>
    </w:p>
    <w:p w14:paraId="1A88D601" w14:textId="77777777" w:rsidR="009201DF" w:rsidRDefault="009201DF" w:rsidP="009201DF">
      <w:pPr>
        <w:pBdr>
          <w:bottom w:val="single" w:sz="12" w:space="1" w:color="auto"/>
        </w:pBdr>
        <w:rPr>
          <w:sz w:val="24"/>
          <w:szCs w:val="24"/>
        </w:rPr>
      </w:pPr>
    </w:p>
    <w:p w14:paraId="2D18F5FD" w14:textId="77777777" w:rsidR="009201DF" w:rsidRDefault="009201DF">
      <w:pPr>
        <w:rPr>
          <w:sz w:val="24"/>
          <w:szCs w:val="24"/>
        </w:rPr>
      </w:pPr>
    </w:p>
    <w:p w14:paraId="5D229D46" w14:textId="77777777" w:rsidR="009201DF" w:rsidRDefault="009201DF">
      <w:pPr>
        <w:rPr>
          <w:sz w:val="24"/>
          <w:szCs w:val="24"/>
        </w:rPr>
      </w:pPr>
    </w:p>
    <w:p w14:paraId="3C29EAA9" w14:textId="2CBABE48" w:rsidR="009201DF" w:rsidRPr="009201DF" w:rsidRDefault="009201DF" w:rsidP="00A637ED">
      <w:pPr>
        <w:shd w:val="clear" w:color="auto" w:fill="000000" w:themeFill="text1"/>
        <w:rPr>
          <w:b/>
          <w:bCs/>
          <w:sz w:val="28"/>
          <w:szCs w:val="28"/>
        </w:rPr>
      </w:pPr>
      <w:r w:rsidRPr="009201DF">
        <w:rPr>
          <w:b/>
          <w:bCs/>
          <w:sz w:val="28"/>
          <w:szCs w:val="28"/>
        </w:rPr>
        <w:lastRenderedPageBreak/>
        <w:t>Section 5 – Student Confirmation</w:t>
      </w:r>
    </w:p>
    <w:p w14:paraId="2F1A14E8" w14:textId="77777777" w:rsidR="009201DF" w:rsidRDefault="009201DF" w:rsidP="006C05E9">
      <w:pPr>
        <w:pStyle w:val="ListParagraph"/>
        <w:numPr>
          <w:ilvl w:val="0"/>
          <w:numId w:val="3"/>
        </w:numPr>
      </w:pPr>
      <w:r>
        <w:t xml:space="preserve">I </w:t>
      </w:r>
      <w:r>
        <w:t xml:space="preserve">the Student, acknowledge that the information provided is correct and it may be disclosed to the relevant Officers of the University who are responsible for considering or processing this change of status request. </w:t>
      </w:r>
    </w:p>
    <w:p w14:paraId="32F797C9" w14:textId="2A0C25FD" w:rsidR="009201DF" w:rsidRDefault="009201DF" w:rsidP="006C05E9">
      <w:pPr>
        <w:pStyle w:val="ListParagraph"/>
        <w:numPr>
          <w:ilvl w:val="0"/>
          <w:numId w:val="3"/>
        </w:numPr>
      </w:pPr>
      <w:r>
        <w:t>I, the Student, also confirm that I have consulted with the Programme Director for my current programme and they are aware that I wish to transfer degree programmes.</w:t>
      </w:r>
    </w:p>
    <w:p w14:paraId="32B3EC18" w14:textId="21DC70DD" w:rsidR="009201DF" w:rsidRDefault="009201DF">
      <w:r>
        <w:t>Student Name:</w:t>
      </w:r>
    </w:p>
    <w:p w14:paraId="7F01A5A7" w14:textId="77777777" w:rsidR="009201DF" w:rsidRDefault="009201DF">
      <w:pPr>
        <w:pBdr>
          <w:bottom w:val="single" w:sz="12" w:space="1" w:color="auto"/>
        </w:pBdr>
      </w:pPr>
    </w:p>
    <w:p w14:paraId="076C00D6" w14:textId="42601648" w:rsidR="009201DF" w:rsidRDefault="009201DF">
      <w:r>
        <w:t xml:space="preserve">Signature: </w:t>
      </w:r>
    </w:p>
    <w:p w14:paraId="1CD5A8DD" w14:textId="77777777" w:rsidR="009201DF" w:rsidRDefault="009201DF">
      <w:pPr>
        <w:pBdr>
          <w:bottom w:val="single" w:sz="12" w:space="1" w:color="auto"/>
        </w:pBdr>
      </w:pPr>
    </w:p>
    <w:p w14:paraId="6AB37BF0" w14:textId="6D6BFEC8" w:rsidR="009201DF" w:rsidRDefault="009201DF">
      <w:r>
        <w:t>Date:</w:t>
      </w:r>
    </w:p>
    <w:p w14:paraId="01D29477" w14:textId="77777777" w:rsidR="009201DF" w:rsidRDefault="009201DF">
      <w:pPr>
        <w:pBdr>
          <w:bottom w:val="single" w:sz="12" w:space="1" w:color="auto"/>
        </w:pBdr>
      </w:pPr>
    </w:p>
    <w:p w14:paraId="107C1BFD" w14:textId="77777777" w:rsidR="009201DF" w:rsidRDefault="009201DF"/>
    <w:p w14:paraId="18DA1D7F" w14:textId="0C6E5D27" w:rsidR="009201DF" w:rsidRPr="009201DF" w:rsidRDefault="009201DF" w:rsidP="00A637ED">
      <w:pPr>
        <w:shd w:val="clear" w:color="auto" w:fill="000000" w:themeFill="text1"/>
        <w:rPr>
          <w:b/>
          <w:bCs/>
          <w:sz w:val="28"/>
          <w:szCs w:val="28"/>
        </w:rPr>
      </w:pPr>
      <w:r w:rsidRPr="009201DF">
        <w:rPr>
          <w:b/>
          <w:bCs/>
          <w:sz w:val="28"/>
          <w:szCs w:val="28"/>
        </w:rPr>
        <w:t xml:space="preserve">Section </w:t>
      </w:r>
      <w:r>
        <w:rPr>
          <w:b/>
          <w:bCs/>
          <w:sz w:val="28"/>
          <w:szCs w:val="28"/>
        </w:rPr>
        <w:t>6</w:t>
      </w:r>
      <w:r w:rsidRPr="009201DF">
        <w:rPr>
          <w:b/>
          <w:bCs/>
          <w:sz w:val="28"/>
          <w:szCs w:val="28"/>
        </w:rPr>
        <w:t xml:space="preserve"> – S</w:t>
      </w:r>
      <w:r>
        <w:rPr>
          <w:b/>
          <w:bCs/>
          <w:sz w:val="28"/>
          <w:szCs w:val="28"/>
        </w:rPr>
        <w:t>chool</w:t>
      </w:r>
      <w:r w:rsidRPr="009201DF">
        <w:rPr>
          <w:b/>
          <w:bCs/>
          <w:sz w:val="28"/>
          <w:szCs w:val="28"/>
        </w:rPr>
        <w:t xml:space="preserve"> Confirmation</w:t>
      </w:r>
    </w:p>
    <w:p w14:paraId="6D2FEB80" w14:textId="77777777" w:rsidR="009201DF" w:rsidRDefault="009201DF" w:rsidP="009201DF">
      <w:r>
        <w:t xml:space="preserve">On behalf of the School for the new degree programme, a signature is required from the School Director of Teaching and Learning, Henley Business School Programme Director or nominee. This confirms if: </w:t>
      </w:r>
    </w:p>
    <w:p w14:paraId="24CECD10" w14:textId="77777777" w:rsidR="009201DF" w:rsidRDefault="009201DF" w:rsidP="009201DF">
      <w:pPr>
        <w:pStyle w:val="ListParagraph"/>
        <w:numPr>
          <w:ilvl w:val="0"/>
          <w:numId w:val="1"/>
        </w:numPr>
      </w:pPr>
      <w:r>
        <w:t>the School supports the student’s request to transfer degree programme; -</w:t>
      </w:r>
    </w:p>
    <w:p w14:paraId="1A1CD964" w14:textId="5FCC8913" w:rsidR="009201DF" w:rsidRDefault="009201DF" w:rsidP="009201DF">
      <w:pPr>
        <w:pStyle w:val="ListParagraph"/>
        <w:numPr>
          <w:ilvl w:val="0"/>
          <w:numId w:val="1"/>
        </w:numPr>
      </w:pPr>
      <w:r>
        <w:t>the compulsory and optional modules taken or selected by the student fulfil the pre-requisites and co</w:t>
      </w:r>
      <w:r>
        <w:t>requisites as specified on the Programme Specification and module diet</w:t>
      </w:r>
      <w:r>
        <w:t xml:space="preserve"> </w:t>
      </w:r>
      <w:r>
        <w:t xml:space="preserve">for their new chosen degree programme; </w:t>
      </w:r>
    </w:p>
    <w:p w14:paraId="4158292B" w14:textId="77777777" w:rsidR="009201DF" w:rsidRDefault="009201DF" w:rsidP="009201DF">
      <w:pPr>
        <w:pStyle w:val="ListParagraph"/>
        <w:numPr>
          <w:ilvl w:val="0"/>
          <w:numId w:val="1"/>
        </w:numPr>
      </w:pPr>
      <w:r>
        <w:t xml:space="preserve">the student has met relevant progression requirements for their new chosen degree </w:t>
      </w:r>
      <w:r>
        <w:t xml:space="preserve">programme. </w:t>
      </w:r>
    </w:p>
    <w:p w14:paraId="7F10A353" w14:textId="77777777" w:rsidR="009201DF" w:rsidRDefault="009201DF" w:rsidP="009201DF"/>
    <w:p w14:paraId="6FD7CAA2" w14:textId="3C56A1F6" w:rsidR="009201DF" w:rsidRDefault="009201DF" w:rsidP="009201DF">
      <w:r>
        <w:t>Name:</w:t>
      </w:r>
    </w:p>
    <w:p w14:paraId="4485A04A" w14:textId="77777777" w:rsidR="009201DF" w:rsidRDefault="009201DF" w:rsidP="009201DF">
      <w:pPr>
        <w:pBdr>
          <w:bottom w:val="single" w:sz="12" w:space="1" w:color="auto"/>
        </w:pBdr>
      </w:pPr>
    </w:p>
    <w:p w14:paraId="4F863A11" w14:textId="059C2620" w:rsidR="009201DF" w:rsidRDefault="009201DF" w:rsidP="009201DF">
      <w:r>
        <w:t>Role title:</w:t>
      </w:r>
    </w:p>
    <w:p w14:paraId="12B152D6" w14:textId="77777777" w:rsidR="009201DF" w:rsidRDefault="009201DF" w:rsidP="009201DF">
      <w:pPr>
        <w:pBdr>
          <w:bottom w:val="single" w:sz="12" w:space="1" w:color="auto"/>
        </w:pBdr>
      </w:pPr>
    </w:p>
    <w:p w14:paraId="5562FF0A" w14:textId="6290291D" w:rsidR="009201DF" w:rsidRDefault="009201DF" w:rsidP="009201DF">
      <w:r>
        <w:t xml:space="preserve">Signature: </w:t>
      </w:r>
    </w:p>
    <w:p w14:paraId="51DEF966" w14:textId="77777777" w:rsidR="009201DF" w:rsidRDefault="009201DF" w:rsidP="009201DF">
      <w:pPr>
        <w:pBdr>
          <w:bottom w:val="single" w:sz="12" w:space="1" w:color="auto"/>
        </w:pBdr>
      </w:pPr>
    </w:p>
    <w:p w14:paraId="7212A4EE" w14:textId="77777777" w:rsidR="009201DF" w:rsidRDefault="009201DF" w:rsidP="009201DF">
      <w:r>
        <w:t>Date:</w:t>
      </w:r>
    </w:p>
    <w:p w14:paraId="504E275C" w14:textId="77777777" w:rsidR="009201DF" w:rsidRDefault="009201DF" w:rsidP="009201DF">
      <w:pPr>
        <w:pBdr>
          <w:bottom w:val="single" w:sz="12" w:space="1" w:color="auto"/>
        </w:pBdr>
      </w:pPr>
    </w:p>
    <w:p w14:paraId="2FF7672B" w14:textId="77777777" w:rsidR="00D47DC5" w:rsidRDefault="00D47DC5"/>
    <w:p w14:paraId="786DD473" w14:textId="77777777" w:rsidR="00D47DC5" w:rsidRDefault="00D47DC5"/>
    <w:p w14:paraId="6A389C89" w14:textId="413DBC4E" w:rsidR="009201DF" w:rsidRDefault="009201DF">
      <w:r>
        <w:lastRenderedPageBreak/>
        <w:t>School supports the students request to transfer degree programme (yes/no):</w:t>
      </w:r>
    </w:p>
    <w:p w14:paraId="5E43F861" w14:textId="77777777" w:rsidR="009201DF" w:rsidRDefault="009201DF">
      <w:pPr>
        <w:pBdr>
          <w:bottom w:val="single" w:sz="12" w:space="1" w:color="auto"/>
        </w:pBdr>
      </w:pPr>
    </w:p>
    <w:p w14:paraId="4B80F6E7" w14:textId="37A0BA14" w:rsidR="009201DF" w:rsidRDefault="00A637ED">
      <w:r>
        <w:t>State reason if approval NOT given:</w:t>
      </w:r>
    </w:p>
    <w:p w14:paraId="6710F688" w14:textId="77777777" w:rsidR="00A637ED" w:rsidRDefault="00A637ED">
      <w:pPr>
        <w:pBdr>
          <w:bottom w:val="single" w:sz="12" w:space="1" w:color="auto"/>
        </w:pBdr>
      </w:pPr>
    </w:p>
    <w:p w14:paraId="0830331C" w14:textId="2038FB3C" w:rsidR="00A637ED" w:rsidRDefault="00A637ED">
      <w:r>
        <w:t xml:space="preserve">Is the transfer approval subject to the student meeting any academic conditions </w:t>
      </w:r>
      <w:r>
        <w:t>(yes/no):</w:t>
      </w:r>
    </w:p>
    <w:p w14:paraId="7655F2CE" w14:textId="77777777" w:rsidR="00A637ED" w:rsidRDefault="00A637ED">
      <w:pPr>
        <w:pBdr>
          <w:bottom w:val="single" w:sz="12" w:space="1" w:color="auto"/>
        </w:pBdr>
      </w:pPr>
    </w:p>
    <w:p w14:paraId="799E911D" w14:textId="5BF64D34" w:rsidR="00A637ED" w:rsidRDefault="00A637ED">
      <w:r>
        <w:t>Academic conditions:</w:t>
      </w:r>
    </w:p>
    <w:p w14:paraId="014FD432" w14:textId="77777777" w:rsidR="00A637ED" w:rsidRDefault="00A637ED">
      <w:pPr>
        <w:pBdr>
          <w:bottom w:val="single" w:sz="12" w:space="1" w:color="auto"/>
        </w:pBdr>
      </w:pPr>
    </w:p>
    <w:p w14:paraId="1E9A7A73" w14:textId="704C7BB0" w:rsidR="00A637ED" w:rsidRDefault="00A637ED">
      <w:r>
        <w:t>Does the transfer require student’s to suspend for the rest of the academic year (yes/no and details)?</w:t>
      </w:r>
    </w:p>
    <w:p w14:paraId="732F2721" w14:textId="77777777" w:rsidR="00A637ED" w:rsidRDefault="00A637ED">
      <w:r>
        <w:t>I</w:t>
      </w:r>
      <w:r>
        <w:t xml:space="preserve">f yes, indicate date of suspension; please note that this cannot normally be retroactive. </w:t>
      </w:r>
    </w:p>
    <w:p w14:paraId="4CF28204" w14:textId="3F6A7C4B" w:rsidR="00A637ED" w:rsidRDefault="00A637ED">
      <w:r>
        <w:t>Normally suspension is relevant only to students who have begun a year abroad and are requesting to transfer to the same programme removing the year abroad.</w:t>
      </w:r>
    </w:p>
    <w:p w14:paraId="3511D124" w14:textId="77777777" w:rsidR="00A637ED" w:rsidRDefault="00A637ED">
      <w:pPr>
        <w:pBdr>
          <w:bottom w:val="single" w:sz="12" w:space="1" w:color="auto"/>
        </w:pBdr>
      </w:pPr>
    </w:p>
    <w:p w14:paraId="15D8BE36" w14:textId="30867B7E" w:rsidR="00A637ED" w:rsidRDefault="00A637ED">
      <w:r>
        <w:t>Does an ad hominem degree programme need to be created?</w:t>
      </w:r>
    </w:p>
    <w:p w14:paraId="097602D2" w14:textId="77777777" w:rsidR="00A637ED" w:rsidRDefault="00A637ED" w:rsidP="00A637ED">
      <w:pPr>
        <w:pStyle w:val="ListParagraph"/>
        <w:numPr>
          <w:ilvl w:val="0"/>
          <w:numId w:val="2"/>
        </w:numPr>
      </w:pPr>
      <w:r>
        <w:t>T</w:t>
      </w:r>
      <w:r>
        <w:t xml:space="preserve">LD approval (Support Centre / HBS School Office / ISLI will obtain) </w:t>
      </w:r>
    </w:p>
    <w:p w14:paraId="3A24624A" w14:textId="28605EA0" w:rsidR="00A637ED" w:rsidRDefault="00A637ED" w:rsidP="00A637ED">
      <w:pPr>
        <w:pStyle w:val="ListParagraph"/>
        <w:numPr>
          <w:ilvl w:val="0"/>
          <w:numId w:val="2"/>
        </w:numPr>
      </w:pPr>
      <w:r>
        <w:t xml:space="preserve">Formal programme approval may be required if the programme does not already exist. Please see </w:t>
      </w:r>
      <w:hyperlink r:id="rId15" w:history="1">
        <w:r w:rsidRPr="00A637ED">
          <w:rPr>
            <w:rStyle w:val="Hyperlink"/>
          </w:rPr>
          <w:t>Section 5</w:t>
        </w:r>
      </w:hyperlink>
      <w:r>
        <w:t xml:space="preserve"> - </w:t>
      </w:r>
      <w:r>
        <w:t>Please contact CQSD with any queries and to submit the paperwork.</w:t>
      </w:r>
    </w:p>
    <w:p w14:paraId="4FFE7B4C" w14:textId="77777777" w:rsidR="00A637ED" w:rsidRDefault="00A637ED">
      <w:pPr>
        <w:pBdr>
          <w:bottom w:val="single" w:sz="12" w:space="1" w:color="auto"/>
        </w:pBdr>
      </w:pPr>
    </w:p>
    <w:p w14:paraId="15504711" w14:textId="77777777" w:rsidR="001003DE" w:rsidRDefault="001003DE">
      <w:r>
        <w:t>D</w:t>
      </w:r>
      <w:r>
        <w:t>o the student’s registered modules align with the module diet and programme specification for the new programme</w:t>
      </w:r>
      <w:r>
        <w:t xml:space="preserve"> (yes/no and detail)?</w:t>
      </w:r>
    </w:p>
    <w:p w14:paraId="2EFA9DA1" w14:textId="77777777" w:rsidR="001003DE" w:rsidRDefault="001003DE">
      <w:r>
        <w:t xml:space="preserve"> If not, the student may be able to pick up missing modules; this is usually done in the next academic year and, depending on the number of credits taken, the student may be registered as full-time on a part-time basis. </w:t>
      </w:r>
    </w:p>
    <w:p w14:paraId="6BB8A753" w14:textId="43C31B49" w:rsidR="001003DE" w:rsidRDefault="001003DE">
      <w:r>
        <w:t>If the School wishes to pursue an alternative solution, a case may be made to the TLD</w:t>
      </w:r>
    </w:p>
    <w:p w14:paraId="54D5452E" w14:textId="77777777" w:rsidR="001003DE" w:rsidRDefault="001003DE">
      <w:pPr>
        <w:pBdr>
          <w:bottom w:val="single" w:sz="12" w:space="1" w:color="auto"/>
        </w:pBdr>
      </w:pPr>
    </w:p>
    <w:p w14:paraId="45B61675" w14:textId="54D5DEA8" w:rsidR="00D47DC5" w:rsidRDefault="001003DE">
      <w:r>
        <w:softHyphen/>
      </w:r>
      <w:r>
        <w:softHyphen/>
      </w:r>
      <w:r>
        <w:softHyphen/>
      </w:r>
    </w:p>
    <w:p w14:paraId="3B06DC94" w14:textId="170DAB0A" w:rsidR="001003DE" w:rsidRPr="00E210B8" w:rsidRDefault="00913CFF" w:rsidP="00E210B8">
      <w:pPr>
        <w:shd w:val="clear" w:color="auto" w:fill="000000" w:themeFill="text1"/>
        <w:rPr>
          <w:b/>
          <w:bCs/>
          <w:sz w:val="28"/>
          <w:szCs w:val="28"/>
        </w:rPr>
      </w:pPr>
      <w:r w:rsidRPr="00E210B8">
        <w:rPr>
          <w:b/>
          <w:bCs/>
          <w:sz w:val="28"/>
          <w:szCs w:val="28"/>
        </w:rPr>
        <w:t>Section 7 – Assigned Academic Tutor</w:t>
      </w:r>
    </w:p>
    <w:p w14:paraId="51FC3FE0" w14:textId="7171F6F8" w:rsidR="00913CFF" w:rsidRDefault="00E210B8">
      <w:r>
        <w:t>Will the student require a new Academic Tutor? (yes/no and name)</w:t>
      </w:r>
    </w:p>
    <w:p w14:paraId="2E7D33BC" w14:textId="77777777" w:rsidR="00E210B8" w:rsidRDefault="00E210B8">
      <w:pPr>
        <w:pBdr>
          <w:bottom w:val="single" w:sz="12" w:space="1" w:color="auto"/>
        </w:pBdr>
      </w:pPr>
    </w:p>
    <w:p w14:paraId="2EA9053E" w14:textId="77777777" w:rsidR="00E210B8" w:rsidRDefault="00E210B8"/>
    <w:p w14:paraId="359ECB17" w14:textId="26722C5F" w:rsidR="00680ECE" w:rsidRPr="00807328" w:rsidRDefault="00680ECE" w:rsidP="00807328">
      <w:pPr>
        <w:shd w:val="clear" w:color="auto" w:fill="000000" w:themeFill="text1"/>
        <w:rPr>
          <w:b/>
          <w:bCs/>
          <w:sz w:val="28"/>
          <w:szCs w:val="28"/>
        </w:rPr>
      </w:pPr>
      <w:r w:rsidRPr="00807328">
        <w:rPr>
          <w:b/>
          <w:bCs/>
          <w:sz w:val="28"/>
          <w:szCs w:val="28"/>
        </w:rPr>
        <w:lastRenderedPageBreak/>
        <w:t>Section 8 – Student Support Coordinator Henley Approval</w:t>
      </w:r>
    </w:p>
    <w:p w14:paraId="3AC543C9" w14:textId="75967A39" w:rsidR="004A198F" w:rsidRDefault="004A198F">
      <w:r>
        <w:t>Name:</w:t>
      </w:r>
    </w:p>
    <w:p w14:paraId="123E706E" w14:textId="77777777" w:rsidR="004A198F" w:rsidRDefault="004A198F">
      <w:pPr>
        <w:pBdr>
          <w:bottom w:val="single" w:sz="12" w:space="1" w:color="auto"/>
        </w:pBdr>
      </w:pPr>
    </w:p>
    <w:p w14:paraId="18F33E99" w14:textId="3FAE97AB" w:rsidR="004A198F" w:rsidRDefault="004A198F">
      <w:r>
        <w:t>Signature:</w:t>
      </w:r>
    </w:p>
    <w:p w14:paraId="3DCAE65E" w14:textId="77777777" w:rsidR="004A198F" w:rsidRDefault="004A198F">
      <w:pPr>
        <w:pBdr>
          <w:bottom w:val="single" w:sz="12" w:space="1" w:color="auto"/>
        </w:pBdr>
      </w:pPr>
    </w:p>
    <w:p w14:paraId="7E792774" w14:textId="76A4EF09" w:rsidR="004A198F" w:rsidRDefault="004A198F">
      <w:r>
        <w:t>Date:</w:t>
      </w:r>
    </w:p>
    <w:p w14:paraId="4BAC44A7" w14:textId="77777777" w:rsidR="004A198F" w:rsidRDefault="004A198F">
      <w:pPr>
        <w:pBdr>
          <w:bottom w:val="single" w:sz="12" w:space="1" w:color="auto"/>
        </w:pBdr>
      </w:pPr>
    </w:p>
    <w:p w14:paraId="53CFCD5F" w14:textId="77777777" w:rsidR="004A198F" w:rsidRDefault="004A198F"/>
    <w:p w14:paraId="76815AC5" w14:textId="606CC178" w:rsidR="004A198F" w:rsidRPr="00807328" w:rsidRDefault="004A198F" w:rsidP="00807328">
      <w:pPr>
        <w:shd w:val="clear" w:color="auto" w:fill="000000" w:themeFill="text1"/>
        <w:rPr>
          <w:b/>
          <w:bCs/>
          <w:sz w:val="28"/>
          <w:szCs w:val="28"/>
        </w:rPr>
      </w:pPr>
      <w:r w:rsidRPr="00807328">
        <w:rPr>
          <w:b/>
          <w:bCs/>
          <w:sz w:val="28"/>
          <w:szCs w:val="28"/>
        </w:rPr>
        <w:t>Section 9 – Denied request</w:t>
      </w:r>
    </w:p>
    <w:p w14:paraId="7EA01E50" w14:textId="6C9D9AE9" w:rsidR="00807328" w:rsidRDefault="00807328">
      <w:r>
        <w:t>Name:</w:t>
      </w:r>
    </w:p>
    <w:p w14:paraId="211D3E71" w14:textId="77777777" w:rsidR="00807328" w:rsidRDefault="00807328">
      <w:pPr>
        <w:pBdr>
          <w:bottom w:val="single" w:sz="12" w:space="1" w:color="auto"/>
        </w:pBdr>
      </w:pPr>
    </w:p>
    <w:p w14:paraId="57B96A06" w14:textId="605BFD84" w:rsidR="00807328" w:rsidRDefault="00807328">
      <w:r>
        <w:t>Signature:</w:t>
      </w:r>
    </w:p>
    <w:p w14:paraId="2286E413" w14:textId="77777777" w:rsidR="00807328" w:rsidRDefault="00807328">
      <w:pPr>
        <w:pBdr>
          <w:bottom w:val="single" w:sz="12" w:space="1" w:color="auto"/>
        </w:pBdr>
      </w:pPr>
    </w:p>
    <w:p w14:paraId="500FE0AE" w14:textId="557C1FD6" w:rsidR="00807328" w:rsidRDefault="00807328">
      <w:r>
        <w:t>Date:</w:t>
      </w:r>
    </w:p>
    <w:p w14:paraId="0699E838" w14:textId="77777777" w:rsidR="00807328" w:rsidRDefault="00807328">
      <w:pPr>
        <w:pBdr>
          <w:bottom w:val="single" w:sz="12" w:space="1" w:color="auto"/>
        </w:pBdr>
      </w:pPr>
    </w:p>
    <w:p w14:paraId="7BEB055C" w14:textId="77777777" w:rsidR="00807328" w:rsidRDefault="00807328"/>
    <w:p w14:paraId="4BB0CA30" w14:textId="17E345E1" w:rsidR="00807328" w:rsidRPr="00364434" w:rsidRDefault="00807328" w:rsidP="00364434">
      <w:pPr>
        <w:shd w:val="clear" w:color="auto" w:fill="000000" w:themeFill="text1"/>
        <w:rPr>
          <w:b/>
          <w:bCs/>
          <w:sz w:val="28"/>
          <w:szCs w:val="28"/>
        </w:rPr>
      </w:pPr>
      <w:r w:rsidRPr="00364434">
        <w:rPr>
          <w:b/>
          <w:bCs/>
          <w:sz w:val="28"/>
          <w:szCs w:val="28"/>
        </w:rPr>
        <w:t>Section 10 – TLD Confirmation</w:t>
      </w:r>
    </w:p>
    <w:p w14:paraId="6804BB52" w14:textId="05ABD96B" w:rsidR="00807328" w:rsidRDefault="00807328">
      <w:r>
        <w:t>Teaching and Learning Dean approval is required to enable the transfer:</w:t>
      </w:r>
    </w:p>
    <w:p w14:paraId="270B69BA" w14:textId="03AEA6CF" w:rsidR="00807328" w:rsidRDefault="00364434">
      <w:r>
        <w:t>Name:</w:t>
      </w:r>
    </w:p>
    <w:p w14:paraId="23BC86E7" w14:textId="77777777" w:rsidR="00364434" w:rsidRDefault="00364434">
      <w:pPr>
        <w:pBdr>
          <w:bottom w:val="single" w:sz="12" w:space="1" w:color="auto"/>
        </w:pBdr>
      </w:pPr>
    </w:p>
    <w:p w14:paraId="4650D078" w14:textId="5105669E" w:rsidR="00364434" w:rsidRDefault="00364434">
      <w:r>
        <w:t>Signature:</w:t>
      </w:r>
    </w:p>
    <w:p w14:paraId="16240004" w14:textId="77777777" w:rsidR="00364434" w:rsidRDefault="00364434">
      <w:pPr>
        <w:pBdr>
          <w:bottom w:val="single" w:sz="12" w:space="1" w:color="auto"/>
        </w:pBdr>
      </w:pPr>
    </w:p>
    <w:p w14:paraId="24671375" w14:textId="3C784D5E" w:rsidR="00364434" w:rsidRDefault="00364434">
      <w:r>
        <w:t>Date:</w:t>
      </w:r>
    </w:p>
    <w:p w14:paraId="2F3680F1" w14:textId="77777777" w:rsidR="00364434" w:rsidRDefault="00364434">
      <w:pPr>
        <w:pBdr>
          <w:bottom w:val="single" w:sz="12" w:space="1" w:color="auto"/>
        </w:pBdr>
      </w:pPr>
    </w:p>
    <w:p w14:paraId="70D7490C" w14:textId="760BF5C0" w:rsidR="00807328" w:rsidRDefault="00807328">
      <w:r>
        <w:t>Comments:</w:t>
      </w:r>
    </w:p>
    <w:p w14:paraId="7B8CC8A0" w14:textId="77777777" w:rsidR="00807328" w:rsidRDefault="00807328">
      <w:pPr>
        <w:pBdr>
          <w:bottom w:val="single" w:sz="12" w:space="1" w:color="auto"/>
        </w:pBdr>
      </w:pPr>
    </w:p>
    <w:p w14:paraId="361AD27C" w14:textId="77777777" w:rsidR="00807328" w:rsidRDefault="00807328"/>
    <w:p w14:paraId="0DD8F9F0" w14:textId="77777777" w:rsidR="00806ED5" w:rsidRDefault="00806ED5">
      <w:r>
        <w:t xml:space="preserve">When TLD confirms their approval for an ad hominem programme, the Support Centre / HBS School Office / ISLI will forward a copy of this form to CQSD so that they can co-ordinate the programme approval, if required because the programme does not already exist. </w:t>
      </w:r>
    </w:p>
    <w:p w14:paraId="26E32811" w14:textId="01289B43" w:rsidR="00806ED5" w:rsidRPr="009201DF" w:rsidRDefault="00806ED5">
      <w:r>
        <w:lastRenderedPageBreak/>
        <w:t>CQSD will notify the Support Centre / HBS School Office / ISLI that the transfer can be processed when the programme is on RISIS</w:t>
      </w:r>
      <w:r>
        <w:t>.</w:t>
      </w:r>
    </w:p>
    <w:sectPr w:rsidR="00806ED5" w:rsidRPr="009201D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CA5A" w14:textId="77777777" w:rsidR="00A37CBA" w:rsidRDefault="00A37CBA" w:rsidP="00806ED5">
      <w:pPr>
        <w:spacing w:after="0" w:line="240" w:lineRule="auto"/>
      </w:pPr>
      <w:r>
        <w:separator/>
      </w:r>
    </w:p>
  </w:endnote>
  <w:endnote w:type="continuationSeparator" w:id="0">
    <w:p w14:paraId="164AFCC1" w14:textId="77777777" w:rsidR="00A37CBA" w:rsidRDefault="00A37CBA" w:rsidP="0080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99359"/>
      <w:docPartObj>
        <w:docPartGallery w:val="Page Numbers (Bottom of Page)"/>
        <w:docPartUnique/>
      </w:docPartObj>
    </w:sdtPr>
    <w:sdtEndPr>
      <w:rPr>
        <w:noProof/>
      </w:rPr>
    </w:sdtEndPr>
    <w:sdtContent>
      <w:p w14:paraId="13CCD1F0" w14:textId="4FBC1039" w:rsidR="008E222B" w:rsidRDefault="008E2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85274" w14:textId="0E1341B7" w:rsidR="00806ED5" w:rsidRDefault="00806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D980" w14:textId="77777777" w:rsidR="00A37CBA" w:rsidRDefault="00A37CBA" w:rsidP="00806ED5">
      <w:pPr>
        <w:spacing w:after="0" w:line="240" w:lineRule="auto"/>
      </w:pPr>
      <w:r>
        <w:separator/>
      </w:r>
    </w:p>
  </w:footnote>
  <w:footnote w:type="continuationSeparator" w:id="0">
    <w:p w14:paraId="4F38A1B1" w14:textId="77777777" w:rsidR="00A37CBA" w:rsidRDefault="00A37CBA" w:rsidP="0080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4B2"/>
    <w:multiLevelType w:val="hybridMultilevel"/>
    <w:tmpl w:val="98FA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77119D"/>
    <w:multiLevelType w:val="hybridMultilevel"/>
    <w:tmpl w:val="D98C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37034"/>
    <w:multiLevelType w:val="hybridMultilevel"/>
    <w:tmpl w:val="AE6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059319">
    <w:abstractNumId w:val="1"/>
  </w:num>
  <w:num w:numId="2" w16cid:durableId="600068665">
    <w:abstractNumId w:val="0"/>
  </w:num>
  <w:num w:numId="3" w16cid:durableId="1122769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DF"/>
    <w:rsid w:val="00052D1A"/>
    <w:rsid w:val="001003DE"/>
    <w:rsid w:val="00165690"/>
    <w:rsid w:val="001C009B"/>
    <w:rsid w:val="00364434"/>
    <w:rsid w:val="00466E9F"/>
    <w:rsid w:val="004A198F"/>
    <w:rsid w:val="005178BE"/>
    <w:rsid w:val="00680ECE"/>
    <w:rsid w:val="006C05E9"/>
    <w:rsid w:val="00734952"/>
    <w:rsid w:val="00806ED5"/>
    <w:rsid w:val="00807328"/>
    <w:rsid w:val="008E222B"/>
    <w:rsid w:val="00913CFF"/>
    <w:rsid w:val="0091415C"/>
    <w:rsid w:val="009201DF"/>
    <w:rsid w:val="00972707"/>
    <w:rsid w:val="009F4A65"/>
    <w:rsid w:val="00A37CBA"/>
    <w:rsid w:val="00A637ED"/>
    <w:rsid w:val="00A92DFA"/>
    <w:rsid w:val="00B53CAB"/>
    <w:rsid w:val="00C25C15"/>
    <w:rsid w:val="00D47DC5"/>
    <w:rsid w:val="00DE0906"/>
    <w:rsid w:val="00E210B8"/>
    <w:rsid w:val="00FA5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40BD"/>
  <w15:chartTrackingRefBased/>
  <w15:docId w15:val="{AD8B86BA-93B8-44CF-826B-9F61C680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1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01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01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01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01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01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01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01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01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1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01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01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01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01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01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01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01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01DF"/>
    <w:rPr>
      <w:rFonts w:eastAsiaTheme="majorEastAsia" w:cstheme="majorBidi"/>
      <w:color w:val="272727" w:themeColor="text1" w:themeTint="D8"/>
    </w:rPr>
  </w:style>
  <w:style w:type="paragraph" w:styleId="Title">
    <w:name w:val="Title"/>
    <w:basedOn w:val="Normal"/>
    <w:next w:val="Normal"/>
    <w:link w:val="TitleChar"/>
    <w:uiPriority w:val="10"/>
    <w:qFormat/>
    <w:rsid w:val="009201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1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01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01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01DF"/>
    <w:pPr>
      <w:spacing w:before="160"/>
      <w:jc w:val="center"/>
    </w:pPr>
    <w:rPr>
      <w:i/>
      <w:iCs/>
      <w:color w:val="404040" w:themeColor="text1" w:themeTint="BF"/>
    </w:rPr>
  </w:style>
  <w:style w:type="character" w:customStyle="1" w:styleId="QuoteChar">
    <w:name w:val="Quote Char"/>
    <w:basedOn w:val="DefaultParagraphFont"/>
    <w:link w:val="Quote"/>
    <w:uiPriority w:val="29"/>
    <w:rsid w:val="009201DF"/>
    <w:rPr>
      <w:i/>
      <w:iCs/>
      <w:color w:val="404040" w:themeColor="text1" w:themeTint="BF"/>
    </w:rPr>
  </w:style>
  <w:style w:type="paragraph" w:styleId="ListParagraph">
    <w:name w:val="List Paragraph"/>
    <w:basedOn w:val="Normal"/>
    <w:uiPriority w:val="34"/>
    <w:qFormat/>
    <w:rsid w:val="009201DF"/>
    <w:pPr>
      <w:ind w:left="720"/>
      <w:contextualSpacing/>
    </w:pPr>
  </w:style>
  <w:style w:type="character" w:styleId="IntenseEmphasis">
    <w:name w:val="Intense Emphasis"/>
    <w:basedOn w:val="DefaultParagraphFont"/>
    <w:uiPriority w:val="21"/>
    <w:qFormat/>
    <w:rsid w:val="009201DF"/>
    <w:rPr>
      <w:i/>
      <w:iCs/>
      <w:color w:val="0F4761" w:themeColor="accent1" w:themeShade="BF"/>
    </w:rPr>
  </w:style>
  <w:style w:type="paragraph" w:styleId="IntenseQuote">
    <w:name w:val="Intense Quote"/>
    <w:basedOn w:val="Normal"/>
    <w:next w:val="Normal"/>
    <w:link w:val="IntenseQuoteChar"/>
    <w:uiPriority w:val="30"/>
    <w:qFormat/>
    <w:rsid w:val="009201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01DF"/>
    <w:rPr>
      <w:i/>
      <w:iCs/>
      <w:color w:val="0F4761" w:themeColor="accent1" w:themeShade="BF"/>
    </w:rPr>
  </w:style>
  <w:style w:type="character" w:styleId="IntenseReference">
    <w:name w:val="Intense Reference"/>
    <w:basedOn w:val="DefaultParagraphFont"/>
    <w:uiPriority w:val="32"/>
    <w:qFormat/>
    <w:rsid w:val="009201DF"/>
    <w:rPr>
      <w:b/>
      <w:bCs/>
      <w:smallCaps/>
      <w:color w:val="0F4761" w:themeColor="accent1" w:themeShade="BF"/>
      <w:spacing w:val="5"/>
    </w:rPr>
  </w:style>
  <w:style w:type="character" w:styleId="Hyperlink">
    <w:name w:val="Hyperlink"/>
    <w:basedOn w:val="DefaultParagraphFont"/>
    <w:uiPriority w:val="99"/>
    <w:unhideWhenUsed/>
    <w:rsid w:val="009201DF"/>
    <w:rPr>
      <w:color w:val="467886" w:themeColor="hyperlink"/>
      <w:u w:val="single"/>
    </w:rPr>
  </w:style>
  <w:style w:type="character" w:styleId="UnresolvedMention">
    <w:name w:val="Unresolved Mention"/>
    <w:basedOn w:val="DefaultParagraphFont"/>
    <w:uiPriority w:val="99"/>
    <w:semiHidden/>
    <w:unhideWhenUsed/>
    <w:rsid w:val="009201DF"/>
    <w:rPr>
      <w:color w:val="605E5C"/>
      <w:shd w:val="clear" w:color="auto" w:fill="E1DFDD"/>
    </w:rPr>
  </w:style>
  <w:style w:type="table" w:styleId="TableGrid">
    <w:name w:val="Table Grid"/>
    <w:basedOn w:val="TableNormal"/>
    <w:uiPriority w:val="39"/>
    <w:rsid w:val="0046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D5"/>
  </w:style>
  <w:style w:type="paragraph" w:styleId="Footer">
    <w:name w:val="footer"/>
    <w:basedOn w:val="Normal"/>
    <w:link w:val="FooterChar"/>
    <w:uiPriority w:val="99"/>
    <w:unhideWhenUsed/>
    <w:rsid w:val="00806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essentials/The-Important-Stuff/Fees-policy" TargetMode="External"/><Relationship Id="rId13" Type="http://schemas.openxmlformats.org/officeDocument/2006/relationships/hyperlink" Target="mailto:immigration@reading.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ading.ac.uk/essentials/Support-And-Wellbeing/Support-Arrangements/student-supp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ac.uk/progspecs/" TargetMode="External"/><Relationship Id="rId5" Type="http://schemas.openxmlformats.org/officeDocument/2006/relationships/footnotes" Target="footnotes.xml"/><Relationship Id="rId15" Type="http://schemas.openxmlformats.org/officeDocument/2006/relationships/hyperlink" Target="http://www.reading.ac.uk/cqsd/QualityAssurance/PoliciesandProcedures/cqsd%20PoliciesandProcedures.aspx." TargetMode="External"/><Relationship Id="rId10" Type="http://schemas.openxmlformats.org/officeDocument/2006/relationships/hyperlink" Target="https://www.reading.ac.uk/essentials/Study/Academic-Tutors/School-Directors-of-Academic-Tutoring" TargetMode="External"/><Relationship Id="rId4" Type="http://schemas.openxmlformats.org/officeDocument/2006/relationships/webSettings" Target="webSettings.xml"/><Relationship Id="rId9" Type="http://schemas.openxmlformats.org/officeDocument/2006/relationships/hyperlink" Target="https://www.reading.ac.uk/essentials/Study/Academic-Tutors" TargetMode="External"/><Relationship Id="rId14" Type="http://schemas.openxmlformats.org/officeDocument/2006/relationships/hyperlink" Target="https://www.reading.ac.uk/essentials/Support-And-Wellbeing/Support-Arrangements/studen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Davies</dc:creator>
  <cp:keywords/>
  <dc:description/>
  <cp:lastModifiedBy>Angie Davies</cp:lastModifiedBy>
  <cp:revision>21</cp:revision>
  <dcterms:created xsi:type="dcterms:W3CDTF">2024-03-12T16:07:00Z</dcterms:created>
  <dcterms:modified xsi:type="dcterms:W3CDTF">2024-03-12T16:49:00Z</dcterms:modified>
</cp:coreProperties>
</file>